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2D6C19" w:rsidRPr="002D6C19" w:rsidTr="002D6C1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2D6C19" w:rsidRPr="002D6C19">
              <w:trPr>
                <w:trHeight w:val="555"/>
                <w:tblCellSpacing w:w="0" w:type="dxa"/>
              </w:trPr>
              <w:tc>
                <w:tcPr>
                  <w:tcW w:w="0" w:type="auto"/>
                  <w:vAlign w:val="center"/>
                  <w:hideMark/>
                </w:tcPr>
                <w:p w:rsidR="002D6C19" w:rsidRPr="002D6C19" w:rsidRDefault="002D6C19" w:rsidP="002D6C19">
                  <w:pPr>
                    <w:widowControl/>
                    <w:spacing w:before="300" w:after="225" w:line="648" w:lineRule="atLeast"/>
                    <w:jc w:val="center"/>
                    <w:rPr>
                      <w:rFonts w:ascii="宋体" w:eastAsia="宋体" w:hAnsi="宋体" w:cs="宋体"/>
                      <w:b/>
                      <w:bCs/>
                      <w:color w:val="185895"/>
                      <w:kern w:val="0"/>
                      <w:sz w:val="36"/>
                      <w:szCs w:val="36"/>
                    </w:rPr>
                  </w:pPr>
                  <w:r w:rsidRPr="002D6C19">
                    <w:rPr>
                      <w:rFonts w:ascii="宋体" w:eastAsia="宋体" w:hAnsi="宋体" w:cs="宋体" w:hint="eastAsia"/>
                      <w:b/>
                      <w:bCs/>
                      <w:color w:val="185895"/>
                      <w:kern w:val="0"/>
                      <w:sz w:val="36"/>
                      <w:szCs w:val="36"/>
                    </w:rPr>
                    <w:t>关于进一步加强行政事业单位资金往来结算</w:t>
                  </w:r>
                  <w:r w:rsidRPr="002D6C19">
                    <w:rPr>
                      <w:rFonts w:ascii="宋体" w:eastAsia="宋体" w:hAnsi="宋体" w:cs="宋体" w:hint="eastAsia"/>
                      <w:b/>
                      <w:bCs/>
                      <w:color w:val="185895"/>
                      <w:kern w:val="0"/>
                      <w:sz w:val="36"/>
                      <w:szCs w:val="36"/>
                    </w:rPr>
                    <w:br/>
                    <w:t>票据使用管理的通知</w:t>
                  </w:r>
                </w:p>
              </w:tc>
            </w:tr>
          </w:tbl>
          <w:p w:rsidR="002D6C19" w:rsidRPr="002D6C19" w:rsidRDefault="002D6C19" w:rsidP="002D6C19">
            <w:pPr>
              <w:widowControl/>
              <w:spacing w:line="324" w:lineRule="atLeast"/>
              <w:jc w:val="left"/>
              <w:rPr>
                <w:rFonts w:ascii="宋体" w:eastAsia="宋体" w:hAnsi="宋体" w:cs="宋体"/>
                <w:vanish/>
                <w:color w:val="000000"/>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2D6C19" w:rsidRPr="002D6C19">
              <w:trPr>
                <w:trHeight w:val="15"/>
                <w:tblCellSpacing w:w="0" w:type="dxa"/>
              </w:trPr>
              <w:tc>
                <w:tcPr>
                  <w:tcW w:w="0" w:type="auto"/>
                  <w:vAlign w:val="center"/>
                  <w:hideMark/>
                </w:tcPr>
                <w:p w:rsidR="002D6C19" w:rsidRPr="002D6C19" w:rsidRDefault="002D6C19" w:rsidP="002D6C19">
                  <w:pPr>
                    <w:widowControl/>
                    <w:spacing w:line="324" w:lineRule="atLeast"/>
                    <w:jc w:val="left"/>
                    <w:rPr>
                      <w:rFonts w:ascii="宋体" w:eastAsia="宋体" w:hAnsi="宋体" w:cs="宋体" w:hint="eastAsia"/>
                      <w:kern w:val="0"/>
                      <w:sz w:val="18"/>
                      <w:szCs w:val="18"/>
                    </w:rPr>
                  </w:pPr>
                  <w:r w:rsidRPr="002D6C19">
                    <w:rPr>
                      <w:rFonts w:ascii="宋体" w:eastAsia="宋体" w:hAnsi="宋体" w:cs="宋体" w:hint="eastAsia"/>
                      <w:kern w:val="0"/>
                      <w:sz w:val="18"/>
                      <w:szCs w:val="18"/>
                    </w:rPr>
                    <w:pict>
                      <v:rect id="_x0000_i1025" style="width:525pt;height:.75pt" o:hrpct="0" o:hralign="center" o:hrstd="t" o:hrnoshade="t" o:hr="t" fillcolor="#99c2e2" stroked="f"/>
                    </w:pict>
                  </w:r>
                </w:p>
              </w:tc>
            </w:tr>
          </w:tbl>
          <w:p w:rsidR="002D6C19" w:rsidRPr="002D6C19" w:rsidRDefault="002D6C19" w:rsidP="002D6C19">
            <w:pPr>
              <w:widowControl/>
              <w:spacing w:line="324" w:lineRule="atLeast"/>
              <w:jc w:val="left"/>
              <w:rPr>
                <w:rFonts w:ascii="宋体" w:eastAsia="宋体" w:hAnsi="宋体" w:cs="宋体"/>
                <w:vanish/>
                <w:color w:val="000000"/>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2D6C19" w:rsidRPr="002D6C19">
              <w:trPr>
                <w:tblCellSpacing w:w="0" w:type="dxa"/>
              </w:trPr>
              <w:tc>
                <w:tcPr>
                  <w:tcW w:w="0" w:type="auto"/>
                  <w:vAlign w:val="center"/>
                  <w:hideMark/>
                </w:tcPr>
                <w:p w:rsidR="002D6C19" w:rsidRPr="002D6C19" w:rsidRDefault="002D6C19" w:rsidP="002D6C19">
                  <w:pPr>
                    <w:widowControl/>
                    <w:spacing w:line="324" w:lineRule="atLeast"/>
                    <w:jc w:val="left"/>
                    <w:rPr>
                      <w:rFonts w:ascii="宋体" w:eastAsia="宋体" w:hAnsi="宋体" w:cs="宋体" w:hint="eastAsia"/>
                      <w:color w:val="000000"/>
                      <w:kern w:val="0"/>
                      <w:sz w:val="18"/>
                      <w:szCs w:val="18"/>
                    </w:rPr>
                  </w:pPr>
                </w:p>
              </w:tc>
            </w:tr>
          </w:tbl>
          <w:p w:rsidR="002D6C19" w:rsidRPr="002D6C19" w:rsidRDefault="002D6C19" w:rsidP="002D6C19">
            <w:pPr>
              <w:widowControl/>
              <w:spacing w:line="324" w:lineRule="atLeast"/>
              <w:jc w:val="left"/>
              <w:rPr>
                <w:rFonts w:ascii="宋体" w:eastAsia="宋体" w:hAnsi="宋体" w:cs="宋体"/>
                <w:color w:val="000000"/>
                <w:kern w:val="0"/>
                <w:sz w:val="18"/>
                <w:szCs w:val="18"/>
              </w:rPr>
            </w:pPr>
          </w:p>
        </w:tc>
      </w:tr>
      <w:tr w:rsidR="002D6C19" w:rsidRPr="002D6C19" w:rsidTr="002D6C19">
        <w:trPr>
          <w:tblCellSpacing w:w="0" w:type="dxa"/>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2D6C19" w:rsidRPr="002D6C19">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firstRow="1" w:lastRow="0" w:firstColumn="1" w:lastColumn="0" w:noHBand="0" w:noVBand="1"/>
                  </w:tblPr>
                  <w:tblGrid>
                    <w:gridCol w:w="7060"/>
                  </w:tblGrid>
                  <w:tr w:rsidR="002D6C19" w:rsidRPr="002D6C19">
                    <w:trPr>
                      <w:tblCellSpacing w:w="0" w:type="dxa"/>
                      <w:jc w:val="center"/>
                    </w:trPr>
                    <w:tc>
                      <w:tcPr>
                        <w:tcW w:w="0" w:type="auto"/>
                        <w:vAlign w:val="center"/>
                        <w:hideMark/>
                      </w:tcPr>
                      <w:p w:rsidR="002D6C19" w:rsidRPr="002D6C19" w:rsidRDefault="002D6C19" w:rsidP="002D6C19">
                        <w:pPr>
                          <w:widowControl/>
                          <w:spacing w:before="100" w:beforeAutospacing="1" w:after="100" w:afterAutospacing="1" w:line="432" w:lineRule="atLeast"/>
                          <w:jc w:val="center"/>
                          <w:rPr>
                            <w:rFonts w:ascii="宋体" w:eastAsia="宋体" w:hAnsi="宋体" w:cs="宋体"/>
                            <w:kern w:val="0"/>
                            <w:sz w:val="24"/>
                            <w:szCs w:val="24"/>
                          </w:rPr>
                        </w:pPr>
                        <w:r w:rsidRPr="002D6C19">
                          <w:rPr>
                            <w:rFonts w:ascii="宋体" w:eastAsia="宋体" w:hAnsi="宋体" w:cs="宋体" w:hint="eastAsia"/>
                            <w:kern w:val="0"/>
                            <w:sz w:val="24"/>
                            <w:szCs w:val="24"/>
                          </w:rPr>
                          <w:t>财综[2013]57号</w:t>
                        </w:r>
                      </w:p>
                      <w:p w:rsidR="002D6C19" w:rsidRPr="002D6C19" w:rsidRDefault="002D6C19" w:rsidP="002D6C19">
                        <w:pPr>
                          <w:widowControl/>
                          <w:spacing w:before="100" w:beforeAutospacing="1" w:after="100" w:afterAutospacing="1" w:line="432" w:lineRule="atLeast"/>
                          <w:jc w:val="left"/>
                          <w:rPr>
                            <w:rFonts w:ascii="宋体" w:eastAsia="宋体" w:hAnsi="宋体" w:cs="宋体" w:hint="eastAsia"/>
                            <w:kern w:val="0"/>
                            <w:sz w:val="24"/>
                            <w:szCs w:val="24"/>
                          </w:rPr>
                        </w:pPr>
                        <w:r w:rsidRPr="002D6C19">
                          <w:rPr>
                            <w:rFonts w:ascii="宋体" w:eastAsia="宋体" w:hAnsi="宋体" w:cs="宋体" w:hint="eastAsia"/>
                            <w:kern w:val="0"/>
                            <w:sz w:val="24"/>
                            <w:szCs w:val="24"/>
                          </w:rPr>
                          <w:t>党中央有关部门，国务院各部委、各直属机构，全国人大常委会办公厅，全国政协办公厅，高法院，高检院，有关人民团体，各省、自治区、直辖市、计划单列市财政厅（局），新疆生产建设兵团财务局：</w:t>
                        </w:r>
                      </w:p>
                      <w:p w:rsidR="002D6C19" w:rsidRPr="002D6C19" w:rsidRDefault="002D6C19" w:rsidP="002D6C19">
                        <w:pPr>
                          <w:widowControl/>
                          <w:spacing w:before="100" w:beforeAutospacing="1" w:after="100" w:afterAutospacing="1" w:line="432" w:lineRule="atLeast"/>
                          <w:jc w:val="left"/>
                          <w:rPr>
                            <w:rFonts w:ascii="宋体" w:eastAsia="宋体" w:hAnsi="宋体" w:cs="宋体" w:hint="eastAsia"/>
                            <w:kern w:val="0"/>
                            <w:sz w:val="24"/>
                            <w:szCs w:val="24"/>
                          </w:rPr>
                        </w:pPr>
                        <w:r w:rsidRPr="002D6C19">
                          <w:rPr>
                            <w:rFonts w:ascii="宋体" w:eastAsia="宋体" w:hAnsi="宋体" w:cs="宋体" w:hint="eastAsia"/>
                            <w:kern w:val="0"/>
                            <w:sz w:val="24"/>
                            <w:szCs w:val="24"/>
                          </w:rPr>
                          <w:t xml:space="preserve">　　2010年，财政部先后印发了《财政部关于印发〈行政事业单位资金往来结算票据使用管理暂行办法〉的通知》（财综〔2010〕1号）和《财政部关于行政事业单位资金往来结算票据使用管理有关问题的补充通知》（财综〔2010〕111号），对行政事业单位资金往来结算票据（以下简称资金往来结算票据）的概念、使用对象、适用范围、管理要求、监督检查等作出了统一规定，从制度上规范了资金往来结算票据的使用管理，有效防治了乱收费、乱集资和各种摊派行为，为加强非税收入管理，规范单位资金往来结算发挥了积极作用。但在实施过程中，一些单位反映，针对非国库集中支付来源的财政性资金，付款单位往往需要收款单位提供票据。同时，也存在资金往来结算票据使用不规范的问题。为进一步完善财政票据管理制度，加强资金往来结算票据管理，现将有关事宜通知如下：</w:t>
                        </w:r>
                      </w:p>
                      <w:p w:rsidR="002D6C19" w:rsidRPr="002D6C19" w:rsidRDefault="002D6C19" w:rsidP="002D6C19">
                        <w:pPr>
                          <w:widowControl/>
                          <w:spacing w:before="100" w:beforeAutospacing="1" w:after="100" w:afterAutospacing="1" w:line="432" w:lineRule="atLeast"/>
                          <w:jc w:val="left"/>
                          <w:rPr>
                            <w:rFonts w:ascii="宋体" w:eastAsia="宋体" w:hAnsi="宋体" w:cs="宋体" w:hint="eastAsia"/>
                            <w:kern w:val="0"/>
                            <w:sz w:val="24"/>
                            <w:szCs w:val="24"/>
                          </w:rPr>
                        </w:pPr>
                        <w:r w:rsidRPr="002D6C19">
                          <w:rPr>
                            <w:rFonts w:ascii="宋体" w:eastAsia="宋体" w:hAnsi="宋体" w:cs="宋体" w:hint="eastAsia"/>
                            <w:kern w:val="0"/>
                            <w:sz w:val="24"/>
                            <w:szCs w:val="24"/>
                          </w:rPr>
                          <w:t xml:space="preserve">　　一、行政事业单位通过国库集中支付方式取得的财政性资金，按照财综〔2010〕111号文件的规定，不开具资金往来结算票据，使用《财政直接支付入账通知书》或《财政授权支付额度到账通知书》及相关银行结算凭证入账。</w:t>
                        </w:r>
                      </w:p>
                      <w:p w:rsidR="002D6C19" w:rsidRPr="002D6C19" w:rsidRDefault="002D6C19" w:rsidP="002D6C19">
                        <w:pPr>
                          <w:widowControl/>
                          <w:spacing w:before="100" w:beforeAutospacing="1" w:after="100" w:afterAutospacing="1" w:line="432" w:lineRule="atLeast"/>
                          <w:jc w:val="left"/>
                          <w:rPr>
                            <w:rFonts w:ascii="宋体" w:eastAsia="宋体" w:hAnsi="宋体" w:cs="宋体" w:hint="eastAsia"/>
                            <w:kern w:val="0"/>
                            <w:sz w:val="24"/>
                            <w:szCs w:val="24"/>
                          </w:rPr>
                        </w:pPr>
                        <w:r w:rsidRPr="002D6C19">
                          <w:rPr>
                            <w:rFonts w:ascii="宋体" w:eastAsia="宋体" w:hAnsi="宋体" w:cs="宋体" w:hint="eastAsia"/>
                            <w:kern w:val="0"/>
                            <w:sz w:val="24"/>
                            <w:szCs w:val="24"/>
                          </w:rPr>
                          <w:t xml:space="preserve">　　二、行政事业单位取得非国库集中支付来源的财政性资金，暂可向付款单位开具资金往来结算票据。</w:t>
                        </w:r>
                      </w:p>
                      <w:p w:rsidR="002D6C19" w:rsidRPr="002D6C19" w:rsidRDefault="002D6C19" w:rsidP="002D6C19">
                        <w:pPr>
                          <w:widowControl/>
                          <w:spacing w:before="100" w:beforeAutospacing="1" w:after="100" w:afterAutospacing="1" w:line="432" w:lineRule="atLeast"/>
                          <w:jc w:val="left"/>
                          <w:rPr>
                            <w:rFonts w:ascii="宋体" w:eastAsia="宋体" w:hAnsi="宋体" w:cs="宋体" w:hint="eastAsia"/>
                            <w:kern w:val="0"/>
                            <w:sz w:val="24"/>
                            <w:szCs w:val="24"/>
                          </w:rPr>
                        </w:pPr>
                        <w:r w:rsidRPr="002D6C19">
                          <w:rPr>
                            <w:rFonts w:ascii="宋体" w:eastAsia="宋体" w:hAnsi="宋体" w:cs="宋体" w:hint="eastAsia"/>
                            <w:kern w:val="0"/>
                            <w:sz w:val="24"/>
                            <w:szCs w:val="24"/>
                          </w:rPr>
                          <w:lastRenderedPageBreak/>
                          <w:t xml:space="preserve">　　三、各行政事业单位应严格按照财综〔2010〕1号、财综〔2010〕111号文件和本通知规定的范围使用资金往来结算票据，不得利用资金往来结算票据收取经营服务性收费、政府非税收入、会费收入、捐赠收入、医疗服务收入，也不得利用资金往来结算票据乱收费、乱集资和各种摊派。</w:t>
                        </w:r>
                      </w:p>
                      <w:p w:rsidR="002D6C19" w:rsidRPr="002D6C19" w:rsidRDefault="002D6C19" w:rsidP="002D6C19">
                        <w:pPr>
                          <w:widowControl/>
                          <w:spacing w:before="100" w:beforeAutospacing="1" w:after="100" w:afterAutospacing="1" w:line="432" w:lineRule="atLeast"/>
                          <w:jc w:val="left"/>
                          <w:rPr>
                            <w:rFonts w:ascii="宋体" w:eastAsia="宋体" w:hAnsi="宋体" w:cs="宋体" w:hint="eastAsia"/>
                            <w:kern w:val="0"/>
                            <w:sz w:val="24"/>
                            <w:szCs w:val="24"/>
                          </w:rPr>
                        </w:pPr>
                        <w:r w:rsidRPr="002D6C19">
                          <w:rPr>
                            <w:rFonts w:ascii="宋体" w:eastAsia="宋体" w:hAnsi="宋体" w:cs="宋体" w:hint="eastAsia"/>
                            <w:kern w:val="0"/>
                            <w:sz w:val="24"/>
                            <w:szCs w:val="24"/>
                          </w:rPr>
                          <w:t xml:space="preserve">　　四、各级财政部门可根据财综〔2010〕1号、财综〔2010〕111号文件和本通知规定，结合管理实际，进一步细化可否使用资金往来结算票据的行为，便于用票单位执行。要加大宣传和培训力度，提高对资金往来结算票据使用管理政策的认识和理解。要加强监督检查，坚决制止使用资金往来结算票据收取经营服务性收费和乱收滥支行为，切实规范资金往来结算票据的使用。</w:t>
                        </w:r>
                      </w:p>
                      <w:p w:rsidR="002D6C19" w:rsidRPr="002D6C19" w:rsidRDefault="002D6C19" w:rsidP="002D6C19">
                        <w:pPr>
                          <w:widowControl/>
                          <w:spacing w:before="100" w:beforeAutospacing="1" w:after="100" w:afterAutospacing="1" w:line="432" w:lineRule="atLeast"/>
                          <w:jc w:val="left"/>
                          <w:rPr>
                            <w:rFonts w:ascii="宋体" w:eastAsia="宋体" w:hAnsi="宋体" w:cs="宋体" w:hint="eastAsia"/>
                            <w:kern w:val="0"/>
                            <w:sz w:val="24"/>
                            <w:szCs w:val="24"/>
                          </w:rPr>
                        </w:pPr>
                        <w:r w:rsidRPr="002D6C19">
                          <w:rPr>
                            <w:rFonts w:ascii="宋体" w:eastAsia="宋体" w:hAnsi="宋体" w:cs="宋体" w:hint="eastAsia"/>
                            <w:kern w:val="0"/>
                            <w:sz w:val="24"/>
                            <w:szCs w:val="24"/>
                          </w:rPr>
                          <w:t xml:space="preserve">　　五、各级财政部门要按照《财政部关于印发&lt;关于推进财政票据电子化改革的方案&gt;的通知》（财综〔2012〕104号）要求，积极推进财政票据电子化改革，将资金往来结算票据纳入财政票据电子化管理系统，实行票据印制、发放、使用、保管、检查核销、销毁的全程监管，切实改进资金往来结算票据管理手段，提高资金往来结算票据管理水平。各用票单位要协同配合，积极推进，充分利用电子化手段管好用好财政票据。</w:t>
                        </w:r>
                      </w:p>
                      <w:p w:rsidR="002D6C19" w:rsidRPr="002D6C19" w:rsidRDefault="002D6C19" w:rsidP="002D6C19">
                        <w:pPr>
                          <w:widowControl/>
                          <w:spacing w:before="100" w:beforeAutospacing="1" w:after="100" w:afterAutospacing="1" w:line="432" w:lineRule="atLeast"/>
                          <w:jc w:val="right"/>
                          <w:rPr>
                            <w:rFonts w:ascii="宋体" w:eastAsia="宋体" w:hAnsi="宋体" w:cs="宋体" w:hint="eastAsia"/>
                            <w:kern w:val="0"/>
                            <w:sz w:val="24"/>
                            <w:szCs w:val="24"/>
                          </w:rPr>
                        </w:pPr>
                        <w:r w:rsidRPr="002D6C19">
                          <w:rPr>
                            <w:rFonts w:ascii="宋体" w:eastAsia="宋体" w:hAnsi="宋体" w:cs="宋体" w:hint="eastAsia"/>
                            <w:kern w:val="0"/>
                            <w:sz w:val="24"/>
                            <w:szCs w:val="24"/>
                          </w:rPr>
                          <w:t xml:space="preserve">　　财  政  部</w:t>
                        </w:r>
                      </w:p>
                      <w:p w:rsidR="002D6C19" w:rsidRPr="002D6C19" w:rsidRDefault="002D6C19" w:rsidP="002D6C19">
                        <w:pPr>
                          <w:widowControl/>
                          <w:spacing w:before="100" w:beforeAutospacing="1" w:after="100" w:afterAutospacing="1" w:line="432" w:lineRule="atLeast"/>
                          <w:jc w:val="right"/>
                          <w:rPr>
                            <w:rFonts w:ascii="宋体" w:eastAsia="宋体" w:hAnsi="宋体" w:cs="宋体" w:hint="eastAsia"/>
                            <w:kern w:val="0"/>
                            <w:sz w:val="24"/>
                            <w:szCs w:val="24"/>
                          </w:rPr>
                        </w:pPr>
                        <w:r w:rsidRPr="002D6C19">
                          <w:rPr>
                            <w:rFonts w:ascii="宋体" w:eastAsia="宋体" w:hAnsi="宋体" w:cs="宋体" w:hint="eastAsia"/>
                            <w:kern w:val="0"/>
                            <w:sz w:val="24"/>
                            <w:szCs w:val="24"/>
                          </w:rPr>
                          <w:t>2013年5月14日</w:t>
                        </w:r>
                      </w:p>
                    </w:tc>
                  </w:tr>
                </w:tbl>
                <w:p w:rsidR="002D6C19" w:rsidRPr="002D6C19" w:rsidRDefault="002D6C19" w:rsidP="002D6C19">
                  <w:pPr>
                    <w:widowControl/>
                    <w:spacing w:line="324" w:lineRule="atLeast"/>
                    <w:jc w:val="center"/>
                    <w:rPr>
                      <w:rFonts w:ascii="宋体" w:eastAsia="宋体" w:hAnsi="宋体" w:cs="宋体" w:hint="eastAsia"/>
                      <w:kern w:val="0"/>
                      <w:sz w:val="18"/>
                      <w:szCs w:val="18"/>
                    </w:rPr>
                  </w:pPr>
                </w:p>
              </w:tc>
            </w:tr>
          </w:tbl>
          <w:p w:rsidR="002D6C19" w:rsidRPr="002D6C19" w:rsidRDefault="002D6C19" w:rsidP="002D6C19">
            <w:pPr>
              <w:widowControl/>
              <w:spacing w:line="324" w:lineRule="atLeast"/>
              <w:jc w:val="left"/>
              <w:rPr>
                <w:rFonts w:ascii="宋体" w:eastAsia="宋体" w:hAnsi="宋体" w:cs="宋体"/>
                <w:color w:val="000000"/>
                <w:kern w:val="0"/>
                <w:sz w:val="18"/>
                <w:szCs w:val="18"/>
              </w:rPr>
            </w:pPr>
          </w:p>
        </w:tc>
      </w:tr>
    </w:tbl>
    <w:p w:rsidR="00072FA9" w:rsidRDefault="00072FA9">
      <w:bookmarkStart w:id="0" w:name="_GoBack"/>
      <w:bookmarkEnd w:id="0"/>
    </w:p>
    <w:sectPr w:rsidR="00072F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7CC" w:rsidRDefault="00BF07CC" w:rsidP="002D6C19">
      <w:r>
        <w:separator/>
      </w:r>
    </w:p>
  </w:endnote>
  <w:endnote w:type="continuationSeparator" w:id="0">
    <w:p w:rsidR="00BF07CC" w:rsidRDefault="00BF07CC" w:rsidP="002D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7CC" w:rsidRDefault="00BF07CC" w:rsidP="002D6C19">
      <w:r>
        <w:separator/>
      </w:r>
    </w:p>
  </w:footnote>
  <w:footnote w:type="continuationSeparator" w:id="0">
    <w:p w:rsidR="00BF07CC" w:rsidRDefault="00BF07CC" w:rsidP="002D6C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D73"/>
    <w:rsid w:val="00072FA9"/>
    <w:rsid w:val="002D6C19"/>
    <w:rsid w:val="003E6D73"/>
    <w:rsid w:val="00BF0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72F847-19CA-4D45-BBE4-ACA181FE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6C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6C19"/>
    <w:rPr>
      <w:sz w:val="18"/>
      <w:szCs w:val="18"/>
    </w:rPr>
  </w:style>
  <w:style w:type="paragraph" w:styleId="a4">
    <w:name w:val="footer"/>
    <w:basedOn w:val="a"/>
    <w:link w:val="Char0"/>
    <w:uiPriority w:val="99"/>
    <w:unhideWhenUsed/>
    <w:rsid w:val="002D6C19"/>
    <w:pPr>
      <w:tabs>
        <w:tab w:val="center" w:pos="4153"/>
        <w:tab w:val="right" w:pos="8306"/>
      </w:tabs>
      <w:snapToGrid w:val="0"/>
      <w:jc w:val="left"/>
    </w:pPr>
    <w:rPr>
      <w:sz w:val="18"/>
      <w:szCs w:val="18"/>
    </w:rPr>
  </w:style>
  <w:style w:type="character" w:customStyle="1" w:styleId="Char0">
    <w:name w:val="页脚 Char"/>
    <w:basedOn w:val="a0"/>
    <w:link w:val="a4"/>
    <w:uiPriority w:val="99"/>
    <w:rsid w:val="002D6C19"/>
    <w:rPr>
      <w:sz w:val="18"/>
      <w:szCs w:val="18"/>
    </w:rPr>
  </w:style>
  <w:style w:type="paragraph" w:styleId="a5">
    <w:name w:val="Normal (Web)"/>
    <w:basedOn w:val="a"/>
    <w:uiPriority w:val="99"/>
    <w:semiHidden/>
    <w:unhideWhenUsed/>
    <w:rsid w:val="002D6C1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308270">
      <w:bodyDiv w:val="1"/>
      <w:marLeft w:val="0"/>
      <w:marRight w:val="0"/>
      <w:marTop w:val="0"/>
      <w:marBottom w:val="0"/>
      <w:divBdr>
        <w:top w:val="none" w:sz="0" w:space="0" w:color="auto"/>
        <w:left w:val="none" w:sz="0" w:space="0" w:color="auto"/>
        <w:bottom w:val="none" w:sz="0" w:space="0" w:color="auto"/>
        <w:right w:val="none" w:sz="0" w:space="0" w:color="auto"/>
      </w:divBdr>
      <w:divsChild>
        <w:div w:id="1833329068">
          <w:marLeft w:val="0"/>
          <w:marRight w:val="0"/>
          <w:marTop w:val="0"/>
          <w:marBottom w:val="0"/>
          <w:divBdr>
            <w:top w:val="none" w:sz="0" w:space="0" w:color="auto"/>
            <w:left w:val="none" w:sz="0" w:space="0" w:color="auto"/>
            <w:bottom w:val="none" w:sz="0" w:space="0" w:color="auto"/>
            <w:right w:val="none" w:sz="0" w:space="0" w:color="auto"/>
          </w:divBdr>
          <w:divsChild>
            <w:div w:id="115279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吴敏</dc:creator>
  <cp:keywords/>
  <dc:description/>
  <cp:lastModifiedBy>吴敏</cp:lastModifiedBy>
  <cp:revision>2</cp:revision>
  <dcterms:created xsi:type="dcterms:W3CDTF">2017-09-26T08:09:00Z</dcterms:created>
  <dcterms:modified xsi:type="dcterms:W3CDTF">2017-09-26T08:09:00Z</dcterms:modified>
</cp:coreProperties>
</file>